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4391E">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 xml:space="preserve"> 招标公告</w:t>
      </w:r>
    </w:p>
    <w:p w14:paraId="1CF991A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val="en-US" w:eastAsia="zh-CN"/>
        </w:rPr>
        <w:t>驾培公司车辆定点维修单位（二次）</w:t>
      </w:r>
      <w:r>
        <w:rPr>
          <w:rFonts w:hint="eastAsia" w:ascii="仿宋_GB2312" w:hAnsi="仿宋_GB2312" w:eastAsia="仿宋_GB2312" w:cs="仿宋_GB2312"/>
          <w:sz w:val="28"/>
          <w:szCs w:val="28"/>
          <w:u w:val="none"/>
          <w:lang w:val="en-US"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5E34366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6CD53950">
      <w:pPr>
        <w:spacing w:line="570" w:lineRule="exact"/>
        <w:ind w:firstLine="562" w:firstLineChars="200"/>
        <w:rPr>
          <w:rFonts w:hint="eastAsia" w:eastAsia="方正仿宋_GBK"/>
          <w:sz w:val="32"/>
          <w:szCs w:val="32"/>
        </w:rPr>
      </w:pPr>
      <w:r>
        <w:rPr>
          <w:rFonts w:hint="eastAsia" w:ascii="仿宋_GB2312" w:hAnsi="仿宋_GB2312" w:eastAsia="仿宋_GB2312" w:cs="仿宋_GB2312"/>
          <w:b/>
          <w:bCs/>
          <w:kern w:val="2"/>
          <w:sz w:val="28"/>
          <w:szCs w:val="28"/>
          <w:lang w:val="en-US" w:eastAsia="zh-CN" w:bidi="ar-SA"/>
        </w:rPr>
        <w:t>项目概况：</w:t>
      </w:r>
      <w:r>
        <w:rPr>
          <w:rFonts w:hint="eastAsia" w:ascii="仿宋_GB2312" w:hAnsi="仿宋_GB2312" w:eastAsia="仿宋_GB2312" w:cs="仿宋_GB2312"/>
          <w:kern w:val="2"/>
          <w:sz w:val="28"/>
          <w:szCs w:val="28"/>
          <w:lang w:val="en-US" w:eastAsia="zh-CN" w:bidi="ar-SA"/>
        </w:rPr>
        <w:t>盐城交院驾驶培训有限公司隶属于江苏省盐城技师学院，座落在盐南高新区海洋路29号,通过公开招标形式确定一个车辆定点维修单位，合作期限</w:t>
      </w:r>
      <w:r>
        <w:rPr>
          <w:rFonts w:hint="eastAsia" w:ascii="仿宋_GB2312" w:hAnsi="仿宋_GB2312" w:eastAsia="仿宋_GB2312" w:cs="仿宋_GB2312"/>
          <w:b/>
          <w:bCs/>
          <w:kern w:val="2"/>
          <w:sz w:val="28"/>
          <w:szCs w:val="28"/>
          <w:lang w:val="en-US" w:eastAsia="zh-CN" w:bidi="ar-SA"/>
        </w:rPr>
        <w:t>为3年</w:t>
      </w:r>
      <w:r>
        <w:rPr>
          <w:rFonts w:hint="eastAsia" w:ascii="仿宋_GB2312" w:hAnsi="仿宋_GB2312" w:eastAsia="仿宋_GB2312" w:cs="仿宋_GB2312"/>
          <w:kern w:val="2"/>
          <w:sz w:val="28"/>
          <w:szCs w:val="28"/>
          <w:lang w:val="en-US" w:eastAsia="zh-CN" w:bidi="ar-SA"/>
        </w:rPr>
        <w:t>，中标单位按中标报价（维修工时单价、工时定额、材料配件价格和质量服务承诺等），向盐城交院驾驶培训有限公司驻场提供汽车维修服务。</w:t>
      </w:r>
    </w:p>
    <w:p w14:paraId="2203F4D8">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车辆品牌数量如下：</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3155"/>
        <w:gridCol w:w="2131"/>
        <w:gridCol w:w="2131"/>
      </w:tblGrid>
      <w:tr w14:paraId="50E2B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7E3559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序号</w:t>
            </w:r>
          </w:p>
        </w:tc>
        <w:tc>
          <w:tcPr>
            <w:tcW w:w="3155" w:type="dxa"/>
          </w:tcPr>
          <w:p w14:paraId="42220E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车型</w:t>
            </w:r>
          </w:p>
        </w:tc>
        <w:tc>
          <w:tcPr>
            <w:tcW w:w="2131" w:type="dxa"/>
          </w:tcPr>
          <w:p w14:paraId="7100F5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数量</w:t>
            </w:r>
          </w:p>
        </w:tc>
        <w:tc>
          <w:tcPr>
            <w:tcW w:w="2131" w:type="dxa"/>
          </w:tcPr>
          <w:p w14:paraId="080A28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备注</w:t>
            </w:r>
          </w:p>
        </w:tc>
      </w:tr>
      <w:tr w14:paraId="4EB05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4D454A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1</w:t>
            </w:r>
          </w:p>
        </w:tc>
        <w:tc>
          <w:tcPr>
            <w:tcW w:w="3155" w:type="dxa"/>
          </w:tcPr>
          <w:p w14:paraId="4E24A3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起亚赛拉图</w:t>
            </w:r>
          </w:p>
        </w:tc>
        <w:tc>
          <w:tcPr>
            <w:tcW w:w="2131" w:type="dxa"/>
          </w:tcPr>
          <w:p w14:paraId="747D96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10台</w:t>
            </w:r>
          </w:p>
        </w:tc>
        <w:tc>
          <w:tcPr>
            <w:tcW w:w="2131" w:type="dxa"/>
          </w:tcPr>
          <w:p w14:paraId="3F2385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16672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2925FC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2</w:t>
            </w:r>
          </w:p>
        </w:tc>
        <w:tc>
          <w:tcPr>
            <w:tcW w:w="3155" w:type="dxa"/>
          </w:tcPr>
          <w:p w14:paraId="693B24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福瑞迪</w:t>
            </w:r>
          </w:p>
        </w:tc>
        <w:tc>
          <w:tcPr>
            <w:tcW w:w="2131" w:type="dxa"/>
          </w:tcPr>
          <w:p w14:paraId="7FDF67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42台</w:t>
            </w:r>
          </w:p>
        </w:tc>
        <w:tc>
          <w:tcPr>
            <w:tcW w:w="2131" w:type="dxa"/>
          </w:tcPr>
          <w:p w14:paraId="7DD2E2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04202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05D5C2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3</w:t>
            </w:r>
          </w:p>
        </w:tc>
        <w:tc>
          <w:tcPr>
            <w:tcW w:w="3155" w:type="dxa"/>
          </w:tcPr>
          <w:p w14:paraId="1CC276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东风大型货车</w:t>
            </w:r>
          </w:p>
        </w:tc>
        <w:tc>
          <w:tcPr>
            <w:tcW w:w="2131" w:type="dxa"/>
          </w:tcPr>
          <w:p w14:paraId="7695BD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8台</w:t>
            </w:r>
          </w:p>
        </w:tc>
        <w:tc>
          <w:tcPr>
            <w:tcW w:w="2131" w:type="dxa"/>
          </w:tcPr>
          <w:p w14:paraId="249ADC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00DEE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0BC428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4</w:t>
            </w:r>
          </w:p>
        </w:tc>
        <w:tc>
          <w:tcPr>
            <w:tcW w:w="3155" w:type="dxa"/>
            <w:shd w:val="clear" w:color="auto" w:fill="auto"/>
            <w:vAlign w:val="top"/>
          </w:tcPr>
          <w:p w14:paraId="52B71C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悦达起亚K5</w:t>
            </w:r>
          </w:p>
        </w:tc>
        <w:tc>
          <w:tcPr>
            <w:tcW w:w="2131" w:type="dxa"/>
            <w:shd w:val="clear" w:color="auto" w:fill="auto"/>
            <w:vAlign w:val="top"/>
          </w:tcPr>
          <w:p w14:paraId="2A2353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2台</w:t>
            </w:r>
          </w:p>
        </w:tc>
        <w:tc>
          <w:tcPr>
            <w:tcW w:w="2131" w:type="dxa"/>
          </w:tcPr>
          <w:p w14:paraId="402124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049BA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387AC0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5</w:t>
            </w:r>
          </w:p>
        </w:tc>
        <w:tc>
          <w:tcPr>
            <w:tcW w:w="3155" w:type="dxa"/>
          </w:tcPr>
          <w:p w14:paraId="5ED9FA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p>
        </w:tc>
        <w:tc>
          <w:tcPr>
            <w:tcW w:w="2131" w:type="dxa"/>
          </w:tcPr>
          <w:p w14:paraId="42B337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p>
        </w:tc>
        <w:tc>
          <w:tcPr>
            <w:tcW w:w="2131" w:type="dxa"/>
          </w:tcPr>
          <w:p w14:paraId="0B819D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bl>
    <w:p w14:paraId="0EC41D59">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备注：中标人需驻场服务，场地由采购人提供（位于盐南高新区海洋路29号江苏省盐城技师学院海洋路校区内），维修的设备设施以及辅助工具由中标人提供，投标人可自行踏勘场地，联系人：吴老师，13851056339。</w:t>
      </w:r>
    </w:p>
    <w:p w14:paraId="465B2862">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23649910">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038DD9F5">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cs="仿宋_GB2312"/>
          <w:b/>
          <w:bCs/>
          <w:color w:val="000000"/>
          <w:sz w:val="28"/>
          <w:szCs w:val="28"/>
          <w:lang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，具备</w:t>
      </w:r>
      <w:r>
        <w:rPr>
          <w:rFonts w:hint="eastAsia" w:ascii="仿宋_GB2312" w:eastAsia="仿宋_GB2312" w:cs="仿宋_GB2312"/>
          <w:color w:val="000000"/>
          <w:sz w:val="28"/>
          <w:szCs w:val="28"/>
        </w:rPr>
        <w:t>道路运输管理机构许可或备案</w:t>
      </w:r>
      <w:r>
        <w:rPr>
          <w:rFonts w:hint="eastAsia" w:ascii="仿宋_GB2312" w:eastAsia="仿宋_GB2312" w:cs="仿宋_GB2312"/>
          <w:color w:val="000000"/>
          <w:sz w:val="28"/>
          <w:szCs w:val="28"/>
          <w:lang w:eastAsia="zh-CN"/>
        </w:rPr>
        <w:t>的汽车维修二类及以上资质，</w:t>
      </w:r>
      <w:r>
        <w:rPr>
          <w:rFonts w:hint="eastAsia" w:ascii="仿宋_GB2312" w:eastAsia="仿宋_GB2312" w:cs="仿宋_GB2312"/>
          <w:color w:val="000000"/>
          <w:sz w:val="28"/>
          <w:szCs w:val="28"/>
          <w:lang w:val="en-US" w:eastAsia="zh-CN"/>
        </w:rPr>
        <w:t>企业必须为</w:t>
      </w:r>
      <w:r>
        <w:rPr>
          <w:rFonts w:hint="eastAsia" w:ascii="仿宋_GB2312" w:eastAsia="仿宋_GB2312" w:cs="仿宋_GB2312"/>
          <w:b/>
          <w:bCs/>
          <w:color w:val="000000"/>
          <w:sz w:val="28"/>
          <w:szCs w:val="28"/>
          <w:lang w:eastAsia="zh-CN"/>
        </w:rPr>
        <w:t>为2024-2025年度盐城市本级党政机关、事业单位及团体组织公务用车维修保养服务</w:t>
      </w:r>
      <w:r>
        <w:rPr>
          <w:rFonts w:hint="eastAsia" w:ascii="仿宋_GB2312" w:eastAsia="仿宋_GB2312" w:cs="仿宋_GB2312"/>
          <w:b/>
          <w:bCs/>
          <w:color w:val="000000"/>
          <w:sz w:val="28"/>
          <w:szCs w:val="28"/>
          <w:lang w:val="en-US" w:eastAsia="zh-CN"/>
        </w:rPr>
        <w:t>定点单位</w:t>
      </w:r>
      <w:r>
        <w:rPr>
          <w:rFonts w:hint="eastAsia" w:ascii="仿宋_GB2312" w:eastAsia="仿宋_GB2312" w:cs="仿宋_GB2312"/>
          <w:b/>
          <w:bCs/>
          <w:color w:val="000000"/>
          <w:sz w:val="28"/>
          <w:szCs w:val="28"/>
          <w:lang w:eastAsia="zh-CN"/>
        </w:rPr>
        <w:t>；</w:t>
      </w:r>
    </w:p>
    <w:p w14:paraId="096A0EE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汽车维修资质证书（</w:t>
      </w:r>
      <w:r>
        <w:rPr>
          <w:rFonts w:hint="eastAsia" w:ascii="仿宋_GB2312" w:eastAsia="仿宋_GB2312" w:cs="仿宋_GB2312"/>
          <w:b/>
          <w:bCs/>
          <w:color w:val="000000"/>
          <w:sz w:val="28"/>
          <w:szCs w:val="28"/>
          <w:u w:val="single"/>
        </w:rPr>
        <w:t>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3346798B">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2D64922F">
      <w:pPr>
        <w:snapToGrid w:val="0"/>
        <w:spacing w:line="4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未被“信用中国”网站（www.creditchina.gov.cn）列入失信被执行人、重大税收违法案件当事人名单、政府采购严重失信行为记录名单。</w:t>
      </w:r>
    </w:p>
    <w:p w14:paraId="32605FFD">
      <w:pPr>
        <w:snapToGrid w:val="0"/>
        <w:spacing w:line="460" w:lineRule="exact"/>
        <w:ind w:firstLine="560" w:firstLineChars="200"/>
        <w:rPr>
          <w:rFonts w:hint="eastAsia" w:eastAsia="仿宋_GB2312"/>
          <w:color w:val="000000"/>
          <w:sz w:val="24"/>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rPr>
        <w:t>本项目不接受联合体投标。</w:t>
      </w:r>
    </w:p>
    <w:p w14:paraId="073931E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41B78D5C">
      <w:pPr>
        <w:spacing w:line="560" w:lineRule="exact"/>
        <w:ind w:firstLine="560" w:firstLineChars="200"/>
        <w:rPr>
          <w:rFonts w:hint="eastAsia" w:ascii="仿宋_GB2312" w:hAnsi="仿宋_GB2312" w:eastAsia="仿宋_GB2312" w:cs="仿宋_GB2312"/>
          <w:kern w:val="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驾培公司车辆定点维修单位项目。</w:t>
      </w:r>
    </w:p>
    <w:p w14:paraId="1BCCB23B">
      <w:pPr>
        <w:spacing w:line="560" w:lineRule="exact"/>
        <w:ind w:firstLine="560" w:firstLineChars="200"/>
        <w:rPr>
          <w:rFonts w:hint="default" w:ascii="仿宋_GB2312" w:hAnsi="仿宋_GB2312" w:eastAsia="仿宋_GB2312" w:cs="仿宋_GB2312"/>
          <w:kern w:val="2"/>
          <w:sz w:val="28"/>
          <w:szCs w:val="28"/>
          <w:lang w:val="en-US" w:eastAsia="zh-CN" w:bidi="ar-SA"/>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 w:hAnsi="仿宋" w:eastAsia="仿宋" w:cs="仿宋"/>
          <w:color w:val="000000"/>
          <w:spacing w:val="-6"/>
          <w:kern w:val="2"/>
          <w:sz w:val="28"/>
          <w:szCs w:val="28"/>
          <w:lang w:val="en-US" w:eastAsia="zh-CN" w:bidi="ar-SA"/>
        </w:rPr>
        <w:t>3年，合同一年一签，每年考核，考核合格续签下年合同。</w:t>
      </w:r>
    </w:p>
    <w:p w14:paraId="02B60ED6">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AEBAAEF">
      <w:pPr>
        <w:spacing w:line="560" w:lineRule="exact"/>
        <w:ind w:firstLine="562" w:firstLineChars="20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四、履约保证金</w:t>
      </w:r>
    </w:p>
    <w:p w14:paraId="616D1652">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1.中标人于签订合同前向招标人指定账号缴纳履约保证金5000元。</w:t>
      </w:r>
    </w:p>
    <w:p w14:paraId="6AF62CCC">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2.履约保证金的退还：项目完成后全额退还（无息）。</w:t>
      </w:r>
    </w:p>
    <w:p w14:paraId="4EFAB3E8">
      <w:pPr>
        <w:spacing w:line="560" w:lineRule="exact"/>
        <w:ind w:firstLine="562" w:firstLineChars="20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 xml:space="preserve">五、招标文件获取、投标文件递交截止时间、开标时间及地点 </w:t>
      </w:r>
    </w:p>
    <w:p w14:paraId="4B90FF3B">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1、招标文件获取时间：2025年12月2日—12月8日（8:00——17:30）； </w:t>
      </w:r>
    </w:p>
    <w:p w14:paraId="43E58991">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地点：江苏省盐城技师学院海洋路校区内（盐城市盐都区海洋路29号匠心楼14楼1411办公室）。 </w:t>
      </w:r>
    </w:p>
    <w:p w14:paraId="5AC8F6C5">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联系人：邵老师0515-68661002/13905109103</w:t>
      </w:r>
    </w:p>
    <w:p w14:paraId="131F9608">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2.投标文件递交截止时间：2025年12月11日9时00分00秒； </w:t>
      </w:r>
    </w:p>
    <w:p w14:paraId="39BEB367">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3.开标时间：2025年12月11</w:t>
      </w:r>
      <w:bookmarkStart w:id="0" w:name="_GoBack"/>
      <w:bookmarkEnd w:id="0"/>
      <w:r>
        <w:rPr>
          <w:rFonts w:hint="eastAsia" w:ascii="仿宋" w:hAnsi="仿宋" w:eastAsia="仿宋" w:cs="仿宋"/>
          <w:kern w:val="2"/>
          <w:sz w:val="28"/>
          <w:szCs w:val="28"/>
          <w:lang w:val="en-US" w:eastAsia="zh-CN" w:bidi="ar-SA"/>
        </w:rPr>
        <w:t xml:space="preserve">日9时00分00秒； </w:t>
      </w:r>
    </w:p>
    <w:p w14:paraId="57C724C5">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4.投标文件递交及开标地点：江苏省盐城技师学院海洋路校区内（盐城市盐都区海洋路29号匠心楼14楼1414会议室）。 </w:t>
      </w:r>
    </w:p>
    <w:p w14:paraId="1ED84EA2">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5.招标人可以按照规定，通过修改招标文件有权酌情延长投标截止日期，在此情况下，投标人的所有权利和义务以及投标人受制的截止日期均应以延长后新的截止日期为准； </w:t>
      </w:r>
    </w:p>
    <w:p w14:paraId="1CB49F42">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6.招标（采购）资料费200 元，投标人交纳的招标（采购）资料费，售后不退。 </w:t>
      </w:r>
    </w:p>
    <w:p w14:paraId="5E4D7102">
      <w:pPr>
        <w:spacing w:line="560" w:lineRule="exact"/>
        <w:ind w:firstLine="562" w:firstLineChars="200"/>
        <w:rPr>
          <w:rFonts w:hint="eastAsia" w:ascii="仿宋" w:hAnsi="仿宋" w:eastAsia="仿宋" w:cs="仿宋"/>
          <w:b/>
          <w:bCs/>
          <w:color w:val="000000"/>
          <w:spacing w:val="-6"/>
          <w:kern w:val="2"/>
          <w:sz w:val="28"/>
          <w:szCs w:val="28"/>
          <w:lang w:val="en-US" w:eastAsia="zh-CN" w:bidi="ar-SA"/>
        </w:rPr>
      </w:pPr>
      <w:r>
        <w:rPr>
          <w:rFonts w:hint="eastAsia" w:ascii="黑体" w:hAnsi="黑体" w:eastAsia="黑体" w:cs="黑体"/>
          <w:b/>
          <w:bCs/>
          <w:sz w:val="28"/>
          <w:szCs w:val="28"/>
          <w:lang w:val="en-US" w:eastAsia="zh-CN"/>
        </w:rPr>
        <w:t>六、期望得到的协助与配合</w:t>
      </w:r>
      <w:r>
        <w:rPr>
          <w:rFonts w:hint="eastAsia" w:ascii="仿宋" w:hAnsi="仿宋" w:eastAsia="仿宋" w:cs="仿宋"/>
          <w:b/>
          <w:bCs/>
          <w:color w:val="000000"/>
          <w:spacing w:val="-6"/>
          <w:kern w:val="2"/>
          <w:sz w:val="28"/>
          <w:szCs w:val="28"/>
          <w:lang w:val="en-US" w:eastAsia="zh-CN" w:bidi="ar-SA"/>
        </w:rPr>
        <w:t xml:space="preserve"> </w:t>
      </w:r>
    </w:p>
    <w:p w14:paraId="3303766F">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了提高招标采购效率，节约社会交易成本及时间，希望报名并购买了招标文件，而又决定不参加本次招标的投标人，请在投标截止时间前2天书面或电话告知我们（联系人：邵老师，办公电话：0515—68661002），对于无故临时放弃投标的投标人，我校将根据情况将投标单位纳入招投标黑名单。对您的支持与配合，谨此致谢。 </w:t>
      </w:r>
    </w:p>
    <w:p w14:paraId="45B44F95">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特别提醒： </w:t>
      </w:r>
    </w:p>
    <w:p w14:paraId="3F52D7E0">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招标人会根据招标需要，可能会不定期在“江苏省盐城技师学院官网”发布该项目补充答疑等澄清修改文件，请各投标人自行网上查寻，未能及时查阅响应而影响投标的，结果由投标人负责。 </w:t>
      </w:r>
    </w:p>
    <w:p w14:paraId="2AC676C7">
      <w:pPr>
        <w:spacing w:line="560" w:lineRule="exact"/>
        <w:ind w:firstLine="562" w:firstLineChars="20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 xml:space="preserve">七、其他 </w:t>
      </w:r>
    </w:p>
    <w:p w14:paraId="4E5129BD">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为确保校园安全，投标人进入江苏省盐城技师学院海洋路校区时应服从下列规定： </w:t>
      </w:r>
    </w:p>
    <w:p w14:paraId="2EB73B93">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（1）投标人从学校东大门进出；投标人车辆一律不得进入校园。 </w:t>
      </w:r>
    </w:p>
    <w:p w14:paraId="1906865D">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（2）授权代表限1人进入校园，进入校园前须在东大门外相关工作人员处进行信息实名登记。请投标人注意投标截止时间。 </w:t>
      </w:r>
    </w:p>
    <w:p w14:paraId="309675BE">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（3）投标人进入校园后应在指定地点参与投标活动，不到非相关场所活动；投标工作结束后应立即离开校园，不逗留。 </w:t>
      </w:r>
    </w:p>
    <w:p w14:paraId="7F72FB26">
      <w:pPr>
        <w:spacing w:line="560" w:lineRule="exact"/>
        <w:ind w:firstLine="562" w:firstLineChars="200"/>
        <w:rPr>
          <w:rFonts w:hint="eastAsia" w:ascii="仿宋" w:hAnsi="仿宋" w:eastAsia="仿宋" w:cs="仿宋"/>
          <w:b/>
          <w:sz w:val="30"/>
          <w:szCs w:val="30"/>
          <w:lang w:val="en-US" w:eastAsia="zh-CN"/>
        </w:rPr>
      </w:pPr>
      <w:r>
        <w:rPr>
          <w:rFonts w:hint="eastAsia" w:ascii="黑体" w:hAnsi="黑体" w:eastAsia="黑体" w:cs="黑体"/>
          <w:b/>
          <w:bCs/>
          <w:sz w:val="28"/>
          <w:szCs w:val="28"/>
          <w:lang w:val="en-US" w:eastAsia="zh-CN"/>
        </w:rPr>
        <w:t xml:space="preserve">八、招标人联系方式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7073"/>
      </w:tblGrid>
      <w:tr w14:paraId="5622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1E13AAD">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联系人</w:t>
            </w:r>
          </w:p>
        </w:tc>
        <w:tc>
          <w:tcPr>
            <w:tcW w:w="7073" w:type="dxa"/>
          </w:tcPr>
          <w:p w14:paraId="0B108153">
            <w:pPr>
              <w:spacing w:line="480" w:lineRule="exact"/>
              <w:jc w:val="center"/>
              <w:rPr>
                <w:rFonts w:hint="eastAsia" w:ascii="楷体" w:hAnsi="楷体" w:eastAsia="楷体" w:cs="仿宋_GB2312"/>
                <w:b/>
                <w:sz w:val="30"/>
                <w:szCs w:val="30"/>
                <w:vertAlign w:val="baseline"/>
                <w:lang w:val="en-US" w:eastAsia="zh-CN"/>
              </w:rPr>
            </w:pPr>
            <w:r>
              <w:rPr>
                <w:rFonts w:hint="eastAsia" w:ascii="仿宋_GB2312" w:eastAsia="仿宋_GB2312" w:cs="仿宋_GB2312" w:hAnsiTheme="minorHAnsi"/>
                <w:kern w:val="2"/>
                <w:sz w:val="28"/>
                <w:szCs w:val="28"/>
                <w:lang w:val="en-US" w:eastAsia="zh-CN" w:bidi="ar-SA"/>
              </w:rPr>
              <w:t>邵老师</w:t>
            </w:r>
          </w:p>
        </w:tc>
      </w:tr>
      <w:tr w14:paraId="47CE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5E880FFB">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电话</w:t>
            </w:r>
          </w:p>
        </w:tc>
        <w:tc>
          <w:tcPr>
            <w:tcW w:w="7073" w:type="dxa"/>
          </w:tcPr>
          <w:p w14:paraId="64C649B7">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0515-68661002</w:t>
            </w:r>
            <w:r>
              <w:rPr>
                <w:rFonts w:hint="eastAsia" w:ascii="仿宋_GB2312" w:eastAsia="仿宋_GB2312" w:cs="仿宋_GB2312"/>
                <w:kern w:val="2"/>
                <w:sz w:val="28"/>
                <w:szCs w:val="28"/>
                <w:lang w:val="en-US" w:eastAsia="zh-CN" w:bidi="ar-SA"/>
              </w:rPr>
              <w:t xml:space="preserve"> </w:t>
            </w:r>
            <w:r>
              <w:rPr>
                <w:rFonts w:hint="eastAsia" w:ascii="仿宋_GB2312" w:eastAsia="仿宋_GB2312" w:cs="仿宋_GB2312" w:hAnsiTheme="minorHAnsi"/>
                <w:kern w:val="2"/>
                <w:sz w:val="28"/>
                <w:szCs w:val="28"/>
                <w:lang w:val="en-US" w:eastAsia="zh-CN" w:bidi="ar-SA"/>
              </w:rPr>
              <w:t>邵老师13905109103</w:t>
            </w:r>
          </w:p>
        </w:tc>
      </w:tr>
      <w:tr w14:paraId="3D5A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32D116E">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联系地址</w:t>
            </w:r>
          </w:p>
        </w:tc>
        <w:tc>
          <w:tcPr>
            <w:tcW w:w="7073" w:type="dxa"/>
          </w:tcPr>
          <w:p w14:paraId="7A9E569B">
            <w:pPr>
              <w:spacing w:line="480" w:lineRule="exact"/>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江苏省盐城技师学院海洋路校区内（盐城市盐都区海洋路29号匠心楼14楼1412办公室） </w:t>
            </w:r>
          </w:p>
        </w:tc>
      </w:tr>
    </w:tbl>
    <w:p w14:paraId="71AC346C">
      <w:pPr>
        <w:pStyle w:val="2"/>
        <w:rPr>
          <w:rFonts w:hint="eastAsia" w:eastAsia="黑体" w:cs="黑体"/>
          <w:sz w:val="44"/>
          <w:szCs w:val="44"/>
        </w:rPr>
      </w:pPr>
    </w:p>
    <w:p w14:paraId="0E96B2BD">
      <w:pPr>
        <w:spacing w:before="156" w:beforeLines="50" w:after="156" w:afterLines="50" w:line="480" w:lineRule="exact"/>
        <w:jc w:val="both"/>
        <w:rPr>
          <w:rFonts w:hint="eastAsia" w:eastAsia="黑体" w:cs="黑体"/>
          <w:sz w:val="44"/>
          <w:szCs w:val="44"/>
        </w:rPr>
      </w:pPr>
    </w:p>
    <w:p w14:paraId="4EBE1217">
      <w:pPr>
        <w:pStyle w:val="2"/>
        <w:rPr>
          <w:rFonts w:hint="eastAsia" w:eastAsia="黑体" w:cs="黑体"/>
          <w:sz w:val="44"/>
          <w:szCs w:val="44"/>
        </w:rPr>
      </w:pPr>
    </w:p>
    <w:p w14:paraId="7E1A74F3">
      <w:pPr>
        <w:pStyle w:val="2"/>
        <w:rPr>
          <w:rFonts w:hint="eastAsia" w:eastAsia="黑体" w:cs="黑体"/>
          <w:sz w:val="44"/>
          <w:szCs w:val="44"/>
        </w:rPr>
      </w:pPr>
    </w:p>
    <w:p w14:paraId="7DAB3BF6">
      <w:pPr>
        <w:pStyle w:val="2"/>
        <w:rPr>
          <w:rFonts w:hint="eastAsia" w:eastAsia="黑体" w:cs="黑体"/>
          <w:sz w:val="44"/>
          <w:szCs w:val="44"/>
        </w:rPr>
      </w:pPr>
    </w:p>
    <w:p w14:paraId="4C513097">
      <w:pPr>
        <w:pStyle w:val="2"/>
        <w:ind w:left="0" w:leftChars="0" w:firstLine="0" w:firstLineChars="0"/>
        <w:rPr>
          <w:rFonts w:hint="eastAsia"/>
        </w:rPr>
      </w:pPr>
    </w:p>
    <w:p w14:paraId="6A5BE6CF">
      <w:pPr>
        <w:pStyle w:val="2"/>
        <w:ind w:left="0" w:leftChars="0" w:firstLine="0" w:firstLineChars="0"/>
        <w:rPr>
          <w:rFonts w:hint="eastAsia"/>
        </w:rPr>
      </w:pPr>
    </w:p>
    <w:p w14:paraId="76B168CE">
      <w:pPr>
        <w:rPr>
          <w:rFonts w:hint="eastAsia"/>
        </w:rPr>
      </w:pPr>
    </w:p>
    <w:p w14:paraId="69756309">
      <w:pPr>
        <w:pStyle w:val="2"/>
        <w:rPr>
          <w:rFonts w:hint="eastAsia"/>
        </w:rPr>
      </w:pPr>
    </w:p>
    <w:p w14:paraId="02129379">
      <w:pPr>
        <w:rPr>
          <w:rFonts w:hint="eastAsia"/>
        </w:rPr>
      </w:pPr>
    </w:p>
    <w:p w14:paraId="46B2A6F1">
      <w:pPr>
        <w:pStyle w:val="2"/>
        <w:rPr>
          <w:rFonts w:hint="eastAsia"/>
        </w:rPr>
      </w:pPr>
    </w:p>
    <w:p w14:paraId="06F955F2">
      <w:pPr>
        <w:rPr>
          <w:rFonts w:hint="eastAsia"/>
        </w:rPr>
      </w:pPr>
    </w:p>
    <w:p w14:paraId="788EED61">
      <w:pPr>
        <w:pStyle w:val="2"/>
        <w:rPr>
          <w:rFonts w:hint="eastAsia"/>
        </w:rPr>
      </w:pPr>
    </w:p>
    <w:p w14:paraId="2FBB903F">
      <w:pPr>
        <w:pStyle w:val="2"/>
        <w:ind w:left="0" w:leftChars="0" w:firstLine="0" w:firstLineChars="0"/>
        <w:rPr>
          <w:rFonts w:hint="eastAsia"/>
        </w:rPr>
      </w:pPr>
    </w:p>
    <w:p w14:paraId="4AFE9139">
      <w:pPr>
        <w:pStyle w:val="2"/>
        <w:ind w:left="0" w:leftChars="0" w:firstLine="0" w:firstLineChars="0"/>
        <w:rPr>
          <w:rFonts w:hint="eastAsia"/>
        </w:rPr>
      </w:pPr>
    </w:p>
    <w:p w14:paraId="4D2EB8D1">
      <w:pPr>
        <w:pStyle w:val="2"/>
        <w:ind w:left="0" w:leftChars="0" w:firstLine="0" w:firstLineChars="0"/>
        <w:rPr>
          <w:rFonts w:hint="eastAsia"/>
        </w:rPr>
      </w:pPr>
    </w:p>
    <w:p w14:paraId="34DF1BD8">
      <w:pPr>
        <w:pStyle w:val="2"/>
        <w:ind w:firstLine="320"/>
        <w:rPr>
          <w:rFonts w:ascii="仿宋_GB2312" w:eastAsia="仿宋_GB2312" w:cs="仿宋_GB2312"/>
          <w:sz w:val="32"/>
          <w:szCs w:val="32"/>
        </w:rPr>
      </w:pPr>
    </w:p>
    <w:sectPr>
      <w:footerReference r:id="rId3" w:type="default"/>
      <w:pgSz w:w="11906" w:h="16838"/>
      <w:pgMar w:top="1383" w:right="1689" w:bottom="1383" w:left="1689"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方正仿宋_GBK">
    <w:altName w:val="宋体"/>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F979B">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22C6DA64">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A7546E"/>
    <w:rsid w:val="02430947"/>
    <w:rsid w:val="02BB1952"/>
    <w:rsid w:val="02BB486C"/>
    <w:rsid w:val="02D23B6C"/>
    <w:rsid w:val="03055062"/>
    <w:rsid w:val="035A33CF"/>
    <w:rsid w:val="03784BFE"/>
    <w:rsid w:val="039369CC"/>
    <w:rsid w:val="044A21C6"/>
    <w:rsid w:val="048928DD"/>
    <w:rsid w:val="04C12B4C"/>
    <w:rsid w:val="04CD3D0D"/>
    <w:rsid w:val="04EF3DB4"/>
    <w:rsid w:val="051004D3"/>
    <w:rsid w:val="05272FAA"/>
    <w:rsid w:val="052D0E27"/>
    <w:rsid w:val="055A2B8C"/>
    <w:rsid w:val="05787881"/>
    <w:rsid w:val="05B15802"/>
    <w:rsid w:val="05C0312F"/>
    <w:rsid w:val="05E76332"/>
    <w:rsid w:val="063E3843"/>
    <w:rsid w:val="067009E3"/>
    <w:rsid w:val="06747033"/>
    <w:rsid w:val="0679188B"/>
    <w:rsid w:val="06B24841"/>
    <w:rsid w:val="06BB5646"/>
    <w:rsid w:val="06D51854"/>
    <w:rsid w:val="06E224E4"/>
    <w:rsid w:val="06F4576E"/>
    <w:rsid w:val="070058ED"/>
    <w:rsid w:val="072842ED"/>
    <w:rsid w:val="07976D19"/>
    <w:rsid w:val="07A73824"/>
    <w:rsid w:val="07CC07D2"/>
    <w:rsid w:val="07DA3CFE"/>
    <w:rsid w:val="08037EE2"/>
    <w:rsid w:val="091A0CCA"/>
    <w:rsid w:val="09420A8E"/>
    <w:rsid w:val="097471DD"/>
    <w:rsid w:val="099A1045"/>
    <w:rsid w:val="09A256F9"/>
    <w:rsid w:val="0A2658EF"/>
    <w:rsid w:val="0A7A745C"/>
    <w:rsid w:val="0AEB2D57"/>
    <w:rsid w:val="0AFC45D4"/>
    <w:rsid w:val="0B404762"/>
    <w:rsid w:val="0B62067E"/>
    <w:rsid w:val="0B626DEC"/>
    <w:rsid w:val="0B855F7E"/>
    <w:rsid w:val="0B9206FD"/>
    <w:rsid w:val="0B9A0FFE"/>
    <w:rsid w:val="0BBB4BBC"/>
    <w:rsid w:val="0C1F6E5E"/>
    <w:rsid w:val="0C206B85"/>
    <w:rsid w:val="0C32647A"/>
    <w:rsid w:val="0C3D62CB"/>
    <w:rsid w:val="0C525545"/>
    <w:rsid w:val="0D7202FA"/>
    <w:rsid w:val="0D8536A8"/>
    <w:rsid w:val="0DA5454E"/>
    <w:rsid w:val="0DA75991"/>
    <w:rsid w:val="0EDD719A"/>
    <w:rsid w:val="0EED3DB3"/>
    <w:rsid w:val="0F5136C0"/>
    <w:rsid w:val="0F78360A"/>
    <w:rsid w:val="0FA34244"/>
    <w:rsid w:val="102062B7"/>
    <w:rsid w:val="10486C99"/>
    <w:rsid w:val="10832FDB"/>
    <w:rsid w:val="109A2AF0"/>
    <w:rsid w:val="10A02C4D"/>
    <w:rsid w:val="11D2703F"/>
    <w:rsid w:val="120D1A1F"/>
    <w:rsid w:val="125D6101"/>
    <w:rsid w:val="12B94D24"/>
    <w:rsid w:val="12C23695"/>
    <w:rsid w:val="131953C2"/>
    <w:rsid w:val="13863FCA"/>
    <w:rsid w:val="1387289B"/>
    <w:rsid w:val="13894C62"/>
    <w:rsid w:val="138A3CBD"/>
    <w:rsid w:val="138F6B73"/>
    <w:rsid w:val="13A8297A"/>
    <w:rsid w:val="13BB045D"/>
    <w:rsid w:val="13BF20EE"/>
    <w:rsid w:val="13DD3993"/>
    <w:rsid w:val="141A7C53"/>
    <w:rsid w:val="141E3E24"/>
    <w:rsid w:val="145B0730"/>
    <w:rsid w:val="147927F8"/>
    <w:rsid w:val="148A50A1"/>
    <w:rsid w:val="14B61A22"/>
    <w:rsid w:val="14DD586C"/>
    <w:rsid w:val="14F204A8"/>
    <w:rsid w:val="155F42E2"/>
    <w:rsid w:val="156D481A"/>
    <w:rsid w:val="15830DD6"/>
    <w:rsid w:val="15D0174A"/>
    <w:rsid w:val="16026B26"/>
    <w:rsid w:val="161A2398"/>
    <w:rsid w:val="16D60D5C"/>
    <w:rsid w:val="16FA1EEA"/>
    <w:rsid w:val="17095030"/>
    <w:rsid w:val="172356C7"/>
    <w:rsid w:val="17720C98"/>
    <w:rsid w:val="178F4D9A"/>
    <w:rsid w:val="17C36D72"/>
    <w:rsid w:val="18181157"/>
    <w:rsid w:val="18352C7A"/>
    <w:rsid w:val="186C65CE"/>
    <w:rsid w:val="18707FE4"/>
    <w:rsid w:val="187679A2"/>
    <w:rsid w:val="188046C1"/>
    <w:rsid w:val="18C745AB"/>
    <w:rsid w:val="193534EA"/>
    <w:rsid w:val="1949555F"/>
    <w:rsid w:val="19D42B02"/>
    <w:rsid w:val="1A0033A8"/>
    <w:rsid w:val="1A2133EC"/>
    <w:rsid w:val="1A2708C1"/>
    <w:rsid w:val="1A2E19C8"/>
    <w:rsid w:val="1A745C61"/>
    <w:rsid w:val="1A7C6625"/>
    <w:rsid w:val="1ACF0032"/>
    <w:rsid w:val="1B1D036B"/>
    <w:rsid w:val="1B370055"/>
    <w:rsid w:val="1B7D6A46"/>
    <w:rsid w:val="1C6537A6"/>
    <w:rsid w:val="1C934422"/>
    <w:rsid w:val="1CB94466"/>
    <w:rsid w:val="1CE37779"/>
    <w:rsid w:val="1D027E40"/>
    <w:rsid w:val="1D4045E5"/>
    <w:rsid w:val="1DDC4D25"/>
    <w:rsid w:val="1E1823DE"/>
    <w:rsid w:val="1E4C0DD8"/>
    <w:rsid w:val="1E5C4D8E"/>
    <w:rsid w:val="1E9F10E2"/>
    <w:rsid w:val="1EB96B5B"/>
    <w:rsid w:val="1F19148B"/>
    <w:rsid w:val="1F7F27F6"/>
    <w:rsid w:val="1FD7766D"/>
    <w:rsid w:val="20126BF3"/>
    <w:rsid w:val="20134F85"/>
    <w:rsid w:val="20530463"/>
    <w:rsid w:val="20FD07C0"/>
    <w:rsid w:val="21175A4C"/>
    <w:rsid w:val="21645F4F"/>
    <w:rsid w:val="216C276A"/>
    <w:rsid w:val="216E48EC"/>
    <w:rsid w:val="21D15555"/>
    <w:rsid w:val="21EB2A6B"/>
    <w:rsid w:val="229077BE"/>
    <w:rsid w:val="231A2EF3"/>
    <w:rsid w:val="23D90E3E"/>
    <w:rsid w:val="24191507"/>
    <w:rsid w:val="2420793E"/>
    <w:rsid w:val="242F2957"/>
    <w:rsid w:val="2469293B"/>
    <w:rsid w:val="24823357"/>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627E33"/>
    <w:rsid w:val="28A616B2"/>
    <w:rsid w:val="28C61583"/>
    <w:rsid w:val="28D16B63"/>
    <w:rsid w:val="28E921CD"/>
    <w:rsid w:val="2934394F"/>
    <w:rsid w:val="293C3219"/>
    <w:rsid w:val="294E6E47"/>
    <w:rsid w:val="2958662D"/>
    <w:rsid w:val="296E1849"/>
    <w:rsid w:val="296E617B"/>
    <w:rsid w:val="29D03263"/>
    <w:rsid w:val="2A993C12"/>
    <w:rsid w:val="2A9D52F4"/>
    <w:rsid w:val="2AA75F42"/>
    <w:rsid w:val="2B370625"/>
    <w:rsid w:val="2B650E2C"/>
    <w:rsid w:val="2BA12CCB"/>
    <w:rsid w:val="2BD715A3"/>
    <w:rsid w:val="2BF253AE"/>
    <w:rsid w:val="2BF95B4F"/>
    <w:rsid w:val="2C225919"/>
    <w:rsid w:val="2C430B45"/>
    <w:rsid w:val="2C8713FC"/>
    <w:rsid w:val="2C8C6458"/>
    <w:rsid w:val="2C9629A2"/>
    <w:rsid w:val="2D0A78E6"/>
    <w:rsid w:val="2D247B91"/>
    <w:rsid w:val="2D3A397F"/>
    <w:rsid w:val="2DB155CE"/>
    <w:rsid w:val="2DF824AE"/>
    <w:rsid w:val="2E170254"/>
    <w:rsid w:val="2E247C4F"/>
    <w:rsid w:val="2E3034BD"/>
    <w:rsid w:val="2E3C2994"/>
    <w:rsid w:val="2E9D6725"/>
    <w:rsid w:val="2F322610"/>
    <w:rsid w:val="2FA71C2C"/>
    <w:rsid w:val="2FBF031F"/>
    <w:rsid w:val="300E426E"/>
    <w:rsid w:val="303C58FE"/>
    <w:rsid w:val="305B42AA"/>
    <w:rsid w:val="308D17A0"/>
    <w:rsid w:val="30B72DB4"/>
    <w:rsid w:val="30C73688"/>
    <w:rsid w:val="30D6335C"/>
    <w:rsid w:val="30F938C5"/>
    <w:rsid w:val="3152597F"/>
    <w:rsid w:val="31721C46"/>
    <w:rsid w:val="31B501BF"/>
    <w:rsid w:val="31E745BA"/>
    <w:rsid w:val="31F604A7"/>
    <w:rsid w:val="323A50F0"/>
    <w:rsid w:val="32F75CED"/>
    <w:rsid w:val="33297F74"/>
    <w:rsid w:val="3348262D"/>
    <w:rsid w:val="334912C7"/>
    <w:rsid w:val="336C1CB6"/>
    <w:rsid w:val="33AE7E7D"/>
    <w:rsid w:val="33F702EF"/>
    <w:rsid w:val="340D52DD"/>
    <w:rsid w:val="342C67CA"/>
    <w:rsid w:val="34824127"/>
    <w:rsid w:val="3486127B"/>
    <w:rsid w:val="34CC6B8D"/>
    <w:rsid w:val="34CF498D"/>
    <w:rsid w:val="34F816AB"/>
    <w:rsid w:val="35005586"/>
    <w:rsid w:val="350D6F38"/>
    <w:rsid w:val="35247A5F"/>
    <w:rsid w:val="35316E83"/>
    <w:rsid w:val="35365D30"/>
    <w:rsid w:val="35383D67"/>
    <w:rsid w:val="35A0707F"/>
    <w:rsid w:val="35AD416C"/>
    <w:rsid w:val="35C14B08"/>
    <w:rsid w:val="35F90162"/>
    <w:rsid w:val="35FD18B8"/>
    <w:rsid w:val="36140B55"/>
    <w:rsid w:val="3628068A"/>
    <w:rsid w:val="36781BE1"/>
    <w:rsid w:val="36883AE4"/>
    <w:rsid w:val="36CD5879"/>
    <w:rsid w:val="36E80731"/>
    <w:rsid w:val="370C49F9"/>
    <w:rsid w:val="371E16DF"/>
    <w:rsid w:val="37314630"/>
    <w:rsid w:val="37595FB5"/>
    <w:rsid w:val="377B7619"/>
    <w:rsid w:val="37A064B7"/>
    <w:rsid w:val="37A23E34"/>
    <w:rsid w:val="37C67FF9"/>
    <w:rsid w:val="37E12459"/>
    <w:rsid w:val="37F06B4E"/>
    <w:rsid w:val="382A637D"/>
    <w:rsid w:val="383A2923"/>
    <w:rsid w:val="383A70C8"/>
    <w:rsid w:val="38BB2241"/>
    <w:rsid w:val="38DD364F"/>
    <w:rsid w:val="38E14EED"/>
    <w:rsid w:val="38E8505C"/>
    <w:rsid w:val="38FF2799"/>
    <w:rsid w:val="394F79A9"/>
    <w:rsid w:val="39555533"/>
    <w:rsid w:val="39A26DC9"/>
    <w:rsid w:val="39DA6378"/>
    <w:rsid w:val="3A114339"/>
    <w:rsid w:val="3AAB5F01"/>
    <w:rsid w:val="3AAC4A7C"/>
    <w:rsid w:val="3AC60452"/>
    <w:rsid w:val="3B4B3FA6"/>
    <w:rsid w:val="3B6162F8"/>
    <w:rsid w:val="3B692B8D"/>
    <w:rsid w:val="3B721FC2"/>
    <w:rsid w:val="3B855F46"/>
    <w:rsid w:val="3BD97B81"/>
    <w:rsid w:val="3BF50F4C"/>
    <w:rsid w:val="3C143E0C"/>
    <w:rsid w:val="3C1F738B"/>
    <w:rsid w:val="3C7C0A1B"/>
    <w:rsid w:val="3CED2288"/>
    <w:rsid w:val="3D2D679A"/>
    <w:rsid w:val="3D411D83"/>
    <w:rsid w:val="3D59154A"/>
    <w:rsid w:val="3D6E436F"/>
    <w:rsid w:val="3D791D7E"/>
    <w:rsid w:val="3D7F4F0B"/>
    <w:rsid w:val="3DA03B15"/>
    <w:rsid w:val="3DA430C6"/>
    <w:rsid w:val="3DD95AFA"/>
    <w:rsid w:val="3DFF1EF8"/>
    <w:rsid w:val="3E0F4079"/>
    <w:rsid w:val="3E406FB9"/>
    <w:rsid w:val="3E47236E"/>
    <w:rsid w:val="3E645089"/>
    <w:rsid w:val="3EA432EA"/>
    <w:rsid w:val="3EC83C00"/>
    <w:rsid w:val="3ED05521"/>
    <w:rsid w:val="3EE957FE"/>
    <w:rsid w:val="3EF23139"/>
    <w:rsid w:val="3F0262BC"/>
    <w:rsid w:val="3F1818E5"/>
    <w:rsid w:val="3F787D93"/>
    <w:rsid w:val="3FFB68F7"/>
    <w:rsid w:val="3FFE53A5"/>
    <w:rsid w:val="40075866"/>
    <w:rsid w:val="403961EA"/>
    <w:rsid w:val="40F90C7F"/>
    <w:rsid w:val="411357D5"/>
    <w:rsid w:val="41145ABE"/>
    <w:rsid w:val="413540A2"/>
    <w:rsid w:val="41951495"/>
    <w:rsid w:val="42536595"/>
    <w:rsid w:val="42A36E1C"/>
    <w:rsid w:val="42AA1947"/>
    <w:rsid w:val="42B82C2B"/>
    <w:rsid w:val="42FE74B6"/>
    <w:rsid w:val="43161770"/>
    <w:rsid w:val="439D1A95"/>
    <w:rsid w:val="43FB6843"/>
    <w:rsid w:val="445F5174"/>
    <w:rsid w:val="447F785B"/>
    <w:rsid w:val="44A658FB"/>
    <w:rsid w:val="44B03BC9"/>
    <w:rsid w:val="44B16CFF"/>
    <w:rsid w:val="45070061"/>
    <w:rsid w:val="45C565B0"/>
    <w:rsid w:val="45D26FD9"/>
    <w:rsid w:val="45F85DE8"/>
    <w:rsid w:val="464A1E26"/>
    <w:rsid w:val="464B3E69"/>
    <w:rsid w:val="467E7D51"/>
    <w:rsid w:val="468D0324"/>
    <w:rsid w:val="46CB6C09"/>
    <w:rsid w:val="473A4A33"/>
    <w:rsid w:val="475E2D19"/>
    <w:rsid w:val="47AC3932"/>
    <w:rsid w:val="47DD3088"/>
    <w:rsid w:val="47EB0CDC"/>
    <w:rsid w:val="48211BC8"/>
    <w:rsid w:val="482C68E1"/>
    <w:rsid w:val="483E69C5"/>
    <w:rsid w:val="48BB2526"/>
    <w:rsid w:val="48E51AD0"/>
    <w:rsid w:val="491C0BE3"/>
    <w:rsid w:val="492C76BC"/>
    <w:rsid w:val="496679E4"/>
    <w:rsid w:val="498B47F1"/>
    <w:rsid w:val="49BE4B40"/>
    <w:rsid w:val="4A0952BB"/>
    <w:rsid w:val="4A300DBD"/>
    <w:rsid w:val="4A39320D"/>
    <w:rsid w:val="4A430E3F"/>
    <w:rsid w:val="4AA07385"/>
    <w:rsid w:val="4B183B51"/>
    <w:rsid w:val="4B196F1F"/>
    <w:rsid w:val="4B1C2C75"/>
    <w:rsid w:val="4B380954"/>
    <w:rsid w:val="4B536996"/>
    <w:rsid w:val="4B9058EB"/>
    <w:rsid w:val="4BFD7E37"/>
    <w:rsid w:val="4C702BBA"/>
    <w:rsid w:val="4C805C6D"/>
    <w:rsid w:val="4CA46EB0"/>
    <w:rsid w:val="4CBE23CE"/>
    <w:rsid w:val="4CD769BC"/>
    <w:rsid w:val="4CFB3FC6"/>
    <w:rsid w:val="4D2558F1"/>
    <w:rsid w:val="4D752DFF"/>
    <w:rsid w:val="4D7B1CD8"/>
    <w:rsid w:val="4DE62960"/>
    <w:rsid w:val="4E100D3C"/>
    <w:rsid w:val="4E4118E0"/>
    <w:rsid w:val="4E555139"/>
    <w:rsid w:val="4E6526E6"/>
    <w:rsid w:val="4E93279E"/>
    <w:rsid w:val="4E94322C"/>
    <w:rsid w:val="4EC209F0"/>
    <w:rsid w:val="4F034C32"/>
    <w:rsid w:val="4F5308A7"/>
    <w:rsid w:val="4F74653C"/>
    <w:rsid w:val="4FDD24ED"/>
    <w:rsid w:val="4FDD3E90"/>
    <w:rsid w:val="5037777B"/>
    <w:rsid w:val="50731938"/>
    <w:rsid w:val="51361776"/>
    <w:rsid w:val="51600B1E"/>
    <w:rsid w:val="51A364AC"/>
    <w:rsid w:val="51BA08B0"/>
    <w:rsid w:val="51C02C5A"/>
    <w:rsid w:val="51C27A83"/>
    <w:rsid w:val="51CE58E5"/>
    <w:rsid w:val="51F02E86"/>
    <w:rsid w:val="51FF14E5"/>
    <w:rsid w:val="52AC24D9"/>
    <w:rsid w:val="52E56056"/>
    <w:rsid w:val="53AB3DE1"/>
    <w:rsid w:val="53B27B60"/>
    <w:rsid w:val="53B75D03"/>
    <w:rsid w:val="53D308F4"/>
    <w:rsid w:val="53D54629"/>
    <w:rsid w:val="542A14B9"/>
    <w:rsid w:val="543E4348"/>
    <w:rsid w:val="549417C5"/>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C23453"/>
    <w:rsid w:val="582E32C0"/>
    <w:rsid w:val="5879502A"/>
    <w:rsid w:val="58883FF1"/>
    <w:rsid w:val="58BB5B67"/>
    <w:rsid w:val="58C739F2"/>
    <w:rsid w:val="58E63AB7"/>
    <w:rsid w:val="592A2468"/>
    <w:rsid w:val="594F6C2F"/>
    <w:rsid w:val="595A4C77"/>
    <w:rsid w:val="596C18DF"/>
    <w:rsid w:val="59723D4E"/>
    <w:rsid w:val="59755C3B"/>
    <w:rsid w:val="59984226"/>
    <w:rsid w:val="59A01DC1"/>
    <w:rsid w:val="59E14449"/>
    <w:rsid w:val="59F33D20"/>
    <w:rsid w:val="5A0C0BD4"/>
    <w:rsid w:val="5A462418"/>
    <w:rsid w:val="5A5B4BA8"/>
    <w:rsid w:val="5AE67CB2"/>
    <w:rsid w:val="5B32399A"/>
    <w:rsid w:val="5BAB7008"/>
    <w:rsid w:val="5BC26D60"/>
    <w:rsid w:val="5C114079"/>
    <w:rsid w:val="5C9751C1"/>
    <w:rsid w:val="5CB155B2"/>
    <w:rsid w:val="5CF86948"/>
    <w:rsid w:val="5D303546"/>
    <w:rsid w:val="5D882094"/>
    <w:rsid w:val="5DBE5382"/>
    <w:rsid w:val="5DC207D4"/>
    <w:rsid w:val="5E104977"/>
    <w:rsid w:val="5E126555"/>
    <w:rsid w:val="5E2413C5"/>
    <w:rsid w:val="5E5516EB"/>
    <w:rsid w:val="5E58594E"/>
    <w:rsid w:val="5E8A480E"/>
    <w:rsid w:val="5EB24D06"/>
    <w:rsid w:val="5EC00FDE"/>
    <w:rsid w:val="5F000F9E"/>
    <w:rsid w:val="5F213218"/>
    <w:rsid w:val="5FB37032"/>
    <w:rsid w:val="604B310F"/>
    <w:rsid w:val="604E57F2"/>
    <w:rsid w:val="608F5787"/>
    <w:rsid w:val="60B54500"/>
    <w:rsid w:val="610C0AF8"/>
    <w:rsid w:val="61372E62"/>
    <w:rsid w:val="61CE54EB"/>
    <w:rsid w:val="620B1737"/>
    <w:rsid w:val="624F051E"/>
    <w:rsid w:val="625A0DB8"/>
    <w:rsid w:val="62685050"/>
    <w:rsid w:val="62CD2233"/>
    <w:rsid w:val="62D500B6"/>
    <w:rsid w:val="62D82626"/>
    <w:rsid w:val="62E6383E"/>
    <w:rsid w:val="62F85FDE"/>
    <w:rsid w:val="63413B72"/>
    <w:rsid w:val="64140E68"/>
    <w:rsid w:val="64571B9A"/>
    <w:rsid w:val="646E1A2B"/>
    <w:rsid w:val="64A5749D"/>
    <w:rsid w:val="64DD2238"/>
    <w:rsid w:val="657813C0"/>
    <w:rsid w:val="65D95392"/>
    <w:rsid w:val="66445C8F"/>
    <w:rsid w:val="6665468B"/>
    <w:rsid w:val="668A38E9"/>
    <w:rsid w:val="67831A61"/>
    <w:rsid w:val="67AF54A4"/>
    <w:rsid w:val="688E2BC4"/>
    <w:rsid w:val="68A00632"/>
    <w:rsid w:val="68AF4662"/>
    <w:rsid w:val="68FB3B7E"/>
    <w:rsid w:val="690762AF"/>
    <w:rsid w:val="69A0054D"/>
    <w:rsid w:val="69C849F5"/>
    <w:rsid w:val="69F80F2F"/>
    <w:rsid w:val="6A51754C"/>
    <w:rsid w:val="6A68473D"/>
    <w:rsid w:val="6A77390C"/>
    <w:rsid w:val="6AF3713C"/>
    <w:rsid w:val="6B1200AE"/>
    <w:rsid w:val="6B376C34"/>
    <w:rsid w:val="6BA87F93"/>
    <w:rsid w:val="6BD84A7F"/>
    <w:rsid w:val="6C020928"/>
    <w:rsid w:val="6CC02D04"/>
    <w:rsid w:val="6CD068B4"/>
    <w:rsid w:val="6D390973"/>
    <w:rsid w:val="6D441F7E"/>
    <w:rsid w:val="6D6D5F4E"/>
    <w:rsid w:val="6D886EFA"/>
    <w:rsid w:val="6DB854D6"/>
    <w:rsid w:val="6E4008B0"/>
    <w:rsid w:val="6E911C2F"/>
    <w:rsid w:val="6EB02BF7"/>
    <w:rsid w:val="6EBF11EF"/>
    <w:rsid w:val="6F0E2891"/>
    <w:rsid w:val="6F4F1DE3"/>
    <w:rsid w:val="6F93454C"/>
    <w:rsid w:val="70281CDD"/>
    <w:rsid w:val="7067211B"/>
    <w:rsid w:val="70A51511"/>
    <w:rsid w:val="70DB4796"/>
    <w:rsid w:val="70E826BC"/>
    <w:rsid w:val="710B011E"/>
    <w:rsid w:val="710F6F32"/>
    <w:rsid w:val="71512C49"/>
    <w:rsid w:val="71661C44"/>
    <w:rsid w:val="717E223A"/>
    <w:rsid w:val="71B1120F"/>
    <w:rsid w:val="71D64F7C"/>
    <w:rsid w:val="71E0306E"/>
    <w:rsid w:val="71F54C9C"/>
    <w:rsid w:val="71F67298"/>
    <w:rsid w:val="720E018E"/>
    <w:rsid w:val="7254748C"/>
    <w:rsid w:val="72561178"/>
    <w:rsid w:val="7312134A"/>
    <w:rsid w:val="736C170B"/>
    <w:rsid w:val="739D7F65"/>
    <w:rsid w:val="73BA6DE5"/>
    <w:rsid w:val="73DE18E8"/>
    <w:rsid w:val="73E56406"/>
    <w:rsid w:val="74837FC2"/>
    <w:rsid w:val="74956A78"/>
    <w:rsid w:val="75295C38"/>
    <w:rsid w:val="75814B80"/>
    <w:rsid w:val="7582710B"/>
    <w:rsid w:val="75C54221"/>
    <w:rsid w:val="75CD3DB4"/>
    <w:rsid w:val="75F34E22"/>
    <w:rsid w:val="76151BBD"/>
    <w:rsid w:val="76503DEE"/>
    <w:rsid w:val="77090A3A"/>
    <w:rsid w:val="772C57E9"/>
    <w:rsid w:val="77386591"/>
    <w:rsid w:val="773C77FD"/>
    <w:rsid w:val="774D7065"/>
    <w:rsid w:val="777827AE"/>
    <w:rsid w:val="777D7660"/>
    <w:rsid w:val="77A2789E"/>
    <w:rsid w:val="780939AE"/>
    <w:rsid w:val="7810382D"/>
    <w:rsid w:val="785C5927"/>
    <w:rsid w:val="78BD3664"/>
    <w:rsid w:val="790413FD"/>
    <w:rsid w:val="790C65B1"/>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D8299B"/>
    <w:rsid w:val="7AE3339F"/>
    <w:rsid w:val="7AEF5512"/>
    <w:rsid w:val="7B3C50D0"/>
    <w:rsid w:val="7B6125D2"/>
    <w:rsid w:val="7B722606"/>
    <w:rsid w:val="7B8D273A"/>
    <w:rsid w:val="7BD61B09"/>
    <w:rsid w:val="7C335EBE"/>
    <w:rsid w:val="7C3F1C90"/>
    <w:rsid w:val="7C4D4EDE"/>
    <w:rsid w:val="7CC462BF"/>
    <w:rsid w:val="7D263586"/>
    <w:rsid w:val="7D341E05"/>
    <w:rsid w:val="7D783C20"/>
    <w:rsid w:val="7DAA2184"/>
    <w:rsid w:val="7DE878E7"/>
    <w:rsid w:val="7DFA7A18"/>
    <w:rsid w:val="7E5B7F26"/>
    <w:rsid w:val="7E9B6F8B"/>
    <w:rsid w:val="7EA45AFC"/>
    <w:rsid w:val="7EE215A1"/>
    <w:rsid w:val="7EE8035F"/>
    <w:rsid w:val="7F1026C2"/>
    <w:rsid w:val="7F550C86"/>
    <w:rsid w:val="7F5E06CB"/>
    <w:rsid w:val="7F9B0D91"/>
    <w:rsid w:val="7FE671D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21"/>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5">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6">
    <w:name w:val="heading 3"/>
    <w:basedOn w:val="1"/>
    <w:next w:val="7"/>
    <w:qFormat/>
    <w:locked/>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link w:val="20"/>
    <w:qFormat/>
    <w:uiPriority w:val="99"/>
    <w:pPr>
      <w:ind w:firstLine="420" w:firstLineChars="100"/>
    </w:pPr>
  </w:style>
  <w:style w:type="paragraph" w:styleId="3">
    <w:name w:val="Body Text"/>
    <w:basedOn w:val="1"/>
    <w:next w:val="1"/>
    <w:link w:val="19"/>
    <w:qFormat/>
    <w:uiPriority w:val="99"/>
    <w:pPr>
      <w:spacing w:after="120"/>
    </w:pPr>
  </w:style>
  <w:style w:type="paragraph" w:styleId="7">
    <w:name w:val="Normal Indent"/>
    <w:basedOn w:val="1"/>
    <w:qFormat/>
    <w:uiPriority w:val="0"/>
    <w:pPr>
      <w:ind w:firstLine="420"/>
    </w:pPr>
  </w:style>
  <w:style w:type="paragraph" w:styleId="8">
    <w:name w:val="Body Text Indent"/>
    <w:basedOn w:val="1"/>
    <w:link w:val="22"/>
    <w:qFormat/>
    <w:uiPriority w:val="99"/>
    <w:pPr>
      <w:ind w:left="-105" w:firstLine="232" w:firstLineChars="232"/>
    </w:pPr>
    <w:rPr>
      <w:rFonts w:eastAsia="仿宋_GB2312"/>
      <w:sz w:val="32"/>
      <w:szCs w:val="32"/>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3"/>
    <w:semiHidden/>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sz w:val="18"/>
      <w:szCs w:val="18"/>
    </w:rPr>
  </w:style>
  <w:style w:type="paragraph" w:styleId="12">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3">
    <w:name w:val="Message Header"/>
    <w:basedOn w:val="1"/>
    <w:qFormat/>
    <w:uiPriority w:val="0"/>
    <w:pPr>
      <w:adjustRightInd w:val="0"/>
    </w:pPr>
    <w:rPr>
      <w:rFonts w:ascii="Arial" w:hAnsi="Arial"/>
    </w:rPr>
  </w:style>
  <w:style w:type="paragraph" w:styleId="14">
    <w:name w:val="Normal (Web)"/>
    <w:basedOn w:val="1"/>
    <w:unhideWhenUsed/>
    <w:qFormat/>
    <w:uiPriority w:val="99"/>
    <w:pPr>
      <w:widowControl/>
      <w:jc w:val="left"/>
    </w:pPr>
    <w:rPr>
      <w:rFonts w:ascii="宋体" w:hAnsi="宋体" w:cs="宋体"/>
      <w:kern w:val="0"/>
      <w:sz w:val="24"/>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qFormat/>
    <w:uiPriority w:val="99"/>
    <w:rPr>
      <w:color w:val="auto"/>
      <w:u w:val="single"/>
    </w:rPr>
  </w:style>
  <w:style w:type="character" w:customStyle="1" w:styleId="19">
    <w:name w:val="正文文本 字符"/>
    <w:link w:val="3"/>
    <w:semiHidden/>
    <w:qFormat/>
    <w:uiPriority w:val="99"/>
    <w:rPr>
      <w:rFonts w:cs="Calibri"/>
      <w:szCs w:val="21"/>
    </w:rPr>
  </w:style>
  <w:style w:type="character" w:customStyle="1" w:styleId="20">
    <w:name w:val="正文文本首行缩进 字符"/>
    <w:link w:val="2"/>
    <w:semiHidden/>
    <w:qFormat/>
    <w:uiPriority w:val="99"/>
    <w:rPr>
      <w:rFonts w:cs="Calibri"/>
      <w:szCs w:val="21"/>
    </w:rPr>
  </w:style>
  <w:style w:type="character" w:customStyle="1" w:styleId="21">
    <w:name w:val="标题 1 字符"/>
    <w:link w:val="4"/>
    <w:qFormat/>
    <w:uiPriority w:val="9"/>
    <w:rPr>
      <w:rFonts w:cs="Calibri"/>
      <w:b/>
      <w:bCs/>
      <w:kern w:val="44"/>
      <w:sz w:val="44"/>
      <w:szCs w:val="44"/>
    </w:rPr>
  </w:style>
  <w:style w:type="character" w:customStyle="1" w:styleId="22">
    <w:name w:val="正文文本缩进 字符"/>
    <w:link w:val="8"/>
    <w:semiHidden/>
    <w:qFormat/>
    <w:uiPriority w:val="99"/>
    <w:rPr>
      <w:rFonts w:cs="Calibri"/>
      <w:szCs w:val="21"/>
    </w:rPr>
  </w:style>
  <w:style w:type="character" w:customStyle="1" w:styleId="23">
    <w:name w:val="批注框文本 字符"/>
    <w:link w:val="10"/>
    <w:qFormat/>
    <w:locked/>
    <w:uiPriority w:val="99"/>
    <w:rPr>
      <w:rFonts w:ascii="Calibri" w:hAnsi="Calibri" w:cs="Calibri"/>
      <w:kern w:val="2"/>
      <w:sz w:val="18"/>
      <w:szCs w:val="18"/>
    </w:rPr>
  </w:style>
  <w:style w:type="character" w:customStyle="1" w:styleId="24">
    <w:name w:val="页脚 字符"/>
    <w:link w:val="11"/>
    <w:qFormat/>
    <w:locked/>
    <w:uiPriority w:val="99"/>
    <w:rPr>
      <w:rFonts w:ascii="Calibri" w:hAnsi="Calibri" w:cs="Calibri"/>
      <w:kern w:val="2"/>
      <w:sz w:val="18"/>
      <w:szCs w:val="18"/>
    </w:rPr>
  </w:style>
  <w:style w:type="character" w:customStyle="1" w:styleId="25">
    <w:name w:val="页眉 字符"/>
    <w:link w:val="12"/>
    <w:qFormat/>
    <w:locked/>
    <w:uiPriority w:val="99"/>
    <w:rPr>
      <w:rFonts w:ascii="Calibri" w:hAnsi="Calibri" w:cs="Calibri"/>
      <w:kern w:val="2"/>
      <w:sz w:val="18"/>
      <w:szCs w:val="18"/>
    </w:rPr>
  </w:style>
  <w:style w:type="paragraph" w:customStyle="1" w:styleId="26">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7">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8">
    <w:name w:val="font91"/>
    <w:qFormat/>
    <w:uiPriority w:val="99"/>
    <w:rPr>
      <w:rFonts w:ascii="Times New Roman" w:hAnsi="Times New Roman" w:cs="Times New Roman"/>
      <w:color w:val="000000"/>
      <w:sz w:val="24"/>
      <w:szCs w:val="24"/>
      <w:u w:val="none"/>
    </w:rPr>
  </w:style>
  <w:style w:type="character" w:customStyle="1" w:styleId="29">
    <w:name w:val="font101"/>
    <w:qFormat/>
    <w:uiPriority w:val="99"/>
    <w:rPr>
      <w:rFonts w:ascii="宋体" w:hAnsi="宋体" w:eastAsia="宋体" w:cs="宋体"/>
      <w:color w:val="000000"/>
      <w:sz w:val="24"/>
      <w:szCs w:val="24"/>
      <w:u w:val="none"/>
    </w:rPr>
  </w:style>
  <w:style w:type="character" w:customStyle="1" w:styleId="30">
    <w:name w:val="font31"/>
    <w:basedOn w:val="17"/>
    <w:qFormat/>
    <w:uiPriority w:val="0"/>
    <w:rPr>
      <w:rFonts w:hint="default" w:ascii="Times New Roman" w:hAnsi="Times New Roman" w:cs="Times New Roman"/>
      <w:color w:val="000000"/>
      <w:sz w:val="22"/>
      <w:szCs w:val="22"/>
      <w:u w:val="none"/>
    </w:rPr>
  </w:style>
  <w:style w:type="character" w:customStyle="1" w:styleId="31">
    <w:name w:val="font01"/>
    <w:basedOn w:val="17"/>
    <w:qFormat/>
    <w:uiPriority w:val="0"/>
    <w:rPr>
      <w:rFonts w:hint="eastAsia" w:ascii="宋体" w:hAnsi="宋体" w:eastAsia="宋体" w:cs="宋体"/>
      <w:color w:val="000000"/>
      <w:sz w:val="22"/>
      <w:szCs w:val="22"/>
      <w:u w:val="none"/>
    </w:rPr>
  </w:style>
  <w:style w:type="character" w:customStyle="1" w:styleId="32">
    <w:name w:val="font21"/>
    <w:basedOn w:val="17"/>
    <w:qFormat/>
    <w:uiPriority w:val="0"/>
    <w:rPr>
      <w:rFonts w:hint="default" w:ascii="Times New Roman" w:hAnsi="Times New Roman" w:cs="Times New Roman"/>
      <w:color w:val="000000"/>
      <w:sz w:val="22"/>
      <w:szCs w:val="22"/>
      <w:u w:val="none"/>
    </w:rPr>
  </w:style>
  <w:style w:type="character" w:customStyle="1" w:styleId="33">
    <w:name w:val="font51"/>
    <w:basedOn w:val="17"/>
    <w:qFormat/>
    <w:uiPriority w:val="0"/>
    <w:rPr>
      <w:rFonts w:hint="default" w:ascii="Times New Roman" w:hAnsi="Times New Roman" w:cs="Times New Roman"/>
      <w:color w:val="000000"/>
      <w:sz w:val="22"/>
      <w:szCs w:val="22"/>
      <w:u w:val="none"/>
    </w:rPr>
  </w:style>
  <w:style w:type="character" w:customStyle="1" w:styleId="34">
    <w:name w:val="font41"/>
    <w:basedOn w:val="17"/>
    <w:qFormat/>
    <w:uiPriority w:val="0"/>
    <w:rPr>
      <w:rFonts w:hint="eastAsia" w:ascii="宋体" w:hAnsi="宋体" w:eastAsia="宋体" w:cs="宋体"/>
      <w:color w:val="000000"/>
      <w:sz w:val="20"/>
      <w:szCs w:val="20"/>
      <w:u w:val="none"/>
      <w:vertAlign w:val="superscript"/>
    </w:rPr>
  </w:style>
  <w:style w:type="character" w:customStyle="1" w:styleId="35">
    <w:name w:val="font11"/>
    <w:basedOn w:val="17"/>
    <w:qFormat/>
    <w:uiPriority w:val="0"/>
    <w:rPr>
      <w:rFonts w:hint="eastAsia" w:ascii="宋体" w:hAnsi="宋体" w:eastAsia="宋体" w:cs="宋体"/>
      <w:color w:val="000000"/>
      <w:sz w:val="20"/>
      <w:szCs w:val="20"/>
      <w:u w:val="none"/>
      <w:vertAlign w:val="superscript"/>
    </w:rPr>
  </w:style>
  <w:style w:type="character" w:customStyle="1" w:styleId="36">
    <w:name w:val="font71"/>
    <w:basedOn w:val="17"/>
    <w:qFormat/>
    <w:uiPriority w:val="0"/>
    <w:rPr>
      <w:rFonts w:ascii="新宋体" w:hAnsi="新宋体" w:eastAsia="新宋体" w:cs="新宋体"/>
      <w:color w:val="000000"/>
      <w:sz w:val="20"/>
      <w:szCs w:val="20"/>
      <w:u w:val="none"/>
    </w:rPr>
  </w:style>
  <w:style w:type="character" w:customStyle="1" w:styleId="37">
    <w:name w:val="font61"/>
    <w:basedOn w:val="17"/>
    <w:qFormat/>
    <w:uiPriority w:val="0"/>
    <w:rPr>
      <w:rFonts w:hint="default" w:ascii="Times New Roman" w:hAnsi="Times New Roman" w:cs="Times New Roman"/>
      <w:color w:val="FF0000"/>
      <w:sz w:val="20"/>
      <w:szCs w:val="20"/>
      <w:u w:val="none"/>
    </w:rPr>
  </w:style>
  <w:style w:type="paragraph" w:customStyle="1" w:styleId="38">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7"/>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0">
    <w:name w:val="列出段落1"/>
    <w:basedOn w:val="1"/>
    <w:qFormat/>
    <w:uiPriority w:val="0"/>
    <w:pPr>
      <w:widowControl/>
      <w:ind w:left="720"/>
      <w:contextualSpacing/>
      <w:jc w:val="left"/>
    </w:pPr>
    <w:rPr>
      <w:rFonts w:ascii="Calibri" w:hAnsi="Calibri"/>
      <w:kern w:val="0"/>
      <w:sz w:val="24"/>
      <w:szCs w:val="24"/>
      <w:lang w:eastAsia="en-US" w:bidi="en-US"/>
    </w:rPr>
  </w:style>
  <w:style w:type="paragraph" w:customStyle="1" w:styleId="41">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1732</Words>
  <Characters>1889</Characters>
  <Lines>82</Lines>
  <Paragraphs>23</Paragraphs>
  <TotalTime>18</TotalTime>
  <ScaleCrop>false</ScaleCrop>
  <LinksUpToDate>false</LinksUpToDate>
  <CharactersWithSpaces>1911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2025-11-19T02:20:00Z</cp:lastPrinted>
  <dcterms:modified xsi:type="dcterms:W3CDTF">2025-12-02T08:15:46Z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eyJoZGlkIjoiNzNmZjU1YTc0YjdiOTljOGE2M2FlMDEzOGI1NDFkNjYiLCJ1c2VySWQiOiIzMjQyMDI1MjcifQ==</vt:lpwstr>
  </property>
  <property fmtid="{D5CDD505-2E9C-101B-9397-08002B2CF9AE}" pid="4" name="ICV">
    <vt:lpwstr>61B9662519504D74A72111FDAD5BE51C_12</vt:lpwstr>
  </property>
</Properties>
</file>